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E1" w:rsidRPr="001267E1" w:rsidRDefault="001267E1" w:rsidP="001267E1">
      <w:pPr>
        <w:snapToGrid w:val="0"/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1267E1">
        <w:rPr>
          <w:rFonts w:ascii="Times New Roman" w:hAnsi="Times New Roman"/>
          <w:b/>
          <w:color w:val="000000"/>
          <w:sz w:val="36"/>
          <w:szCs w:val="28"/>
          <w:lang w:eastAsia="ru-RU"/>
        </w:rPr>
        <w:t>Конкурентные преимущества парового экструдера БГТО.</w:t>
      </w:r>
    </w:p>
    <w:p w:rsidR="001267E1" w:rsidRPr="001267E1" w:rsidRDefault="001267E1" w:rsidP="001267E1">
      <w:pPr>
        <w:snapToGrid w:val="0"/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napToGrid w:val="0"/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равнение технико-экономических характеристик с аналогами.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Заводы растительных масел производят жмыхи и шроты как побочную продукцию, количество этой продукции растет пропорционально количеству произведенного масла, и в условиях удовлетворения спроса на жмыхи и шроты возникают проблемы с их реализацией. Рост внутреннего производства жмыхов и шротов обостряет конкуренцию между производителями и является дополнительным стимулом применения технологии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гидро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термической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обработки (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БГТО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повышения конкурентоспособности этой своей продукции.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Животноводческие предприятия не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могу увеличивать содержание этих кормов в рецептах и рационах даже не смотря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дефицит протеина в них. У коров избыток, например, шротов в рационе приводит к отравлению аммиаком вследствие особенностей их пищеварения, к снижению продуктивности и потере воспроизводительной функции уже через 2 года хозяйственного использования, тогда как при сбалансированном кормлении корова может давать молоко и потомство 10-15 лет. Причиной того является высокая степень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распадаемости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протеина шротов в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преджелудке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жвачных животных и превращение его в аммиак. Сбалансировать рацион высокопродуктивной коровы по показателю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распадаемости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 не возможно из-за отсутствия кормов с высоким уровнем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нераспадаемого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протеина. БГТО решает эту проблему.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БГТО уменьшает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распадаемость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протеина в 3-4 раза, переводя его в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нераспадаемый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одновременно увеличивается переваримость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нераспадаемого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протеина в кишечнике. Отсюда столь значительное повышение продуктивности при использовании продуктов БГТО (до 19% увеличение удоя без дополнительных кормов).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свиней и птицы проблемы возникают из-за высокого содержания клетчатки в подсолнечном шроте. Превышение клетчатки в рецептуре комбикормов влечет за собой расстройство пищеварения, снижение продуктивности,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конечном счете огромные убытки. При БГТО на клетчатку воздействует пар высокой температуры и давление. Влага пара проникает под давлением в природную структуру волокон клетчатки, клетчатка набухает, внутренние связи ослабевают, её полимеры частично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гидролизуются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, а декомпрессионный взрыв завершает разрушение структуры. После БГТО количество клетчатки уменьшается на 12-14%, а переваримость оставшейся клетчатки увеличивается. В производственных опытах на поросятах и цыплятах-бройлерах был получен дополнительный привес 5-7%.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связи с ростом населения потребность в продуктах питания будет неуклонно расти, а уменьшение посевных площадей из-за эрозии плодородных почв неизбежно вынудит нас искать способы повышения эффективности кормов, путем увеличения их природных питательных свойств.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всем российском кормопроизводстве доля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термо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обработанных жмыхов и шротов ничтожно мала, в основном обрабатывают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бобовые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полножирную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сою и люпин. Жмыхи целенаправленно обрабатывает в небольших количествах единственное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расположенное в Краснодарском крае ООО «Центр соя»</w:t>
      </w:r>
      <w:r w:rsidRPr="0068568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67E1" w:rsidRPr="00685689" w:rsidRDefault="001267E1" w:rsidP="001267E1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 (БГТО) основан на тепловом ударе и декомпрессионном взрыве сырья без применения механического воздействия в отличие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традиционного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экструдирования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Тепловой удар осуществляется кратковременным (несколько секунд) воздействием пара при температуре близкой к 180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С, а декомпрессионный взрыв – последующим мгновенным сбросом давления.  Наибольший интерес представляет обработка малосыпучего высокобелкового сырья с целью защиты протеина и повышения его энергетической питательности. </w:t>
      </w:r>
    </w:p>
    <w:p w:rsidR="001267E1" w:rsidRDefault="001267E1" w:rsidP="001267E1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67E1" w:rsidRPr="00685689" w:rsidRDefault="001267E1" w:rsidP="001267E1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Существуют д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ругие способы тепловой обработки – варка, запаривание, поджаривание,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механическое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экструдирование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экспандирование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микронизация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Все эти способы не могут конкурировать с технологией БГТО по следующим причинам:  </w:t>
      </w:r>
    </w:p>
    <w:p w:rsidR="001267E1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Варка, запаривание (при атмосферном давлении или чуть выше его)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огут применяться для обработки жмыхов и шротов, но это способы непригодные для применения в крупных промышленных комплексах, где кормление осуществляется сухими кормами, а корма изготавливают по строго контролируемым рецептам на комбикормовых заводах из сухих компонентов. Клетчатка кормов при варке не разрушается, а лишь набухает. Эти способы используют при содержании животных на частных подворьях и в небольших фермерских хозяйствах, редко на свинофермах и не применят на птицефабриках. Корма после варки, запаривания не подлежат хранению, должны быть немедленно скормлены. БГТО разрушает клетчатку, переводит её компоненты в более доступные формы. Корм после БГТО хранится длительное время, технология БГТО легко вписывается в производственную линию любого комбикормового завода, кормоцеха.</w:t>
      </w:r>
    </w:p>
    <w:p w:rsidR="001267E1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671B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На комбикормовом заводе Агрофирмы «</w:t>
      </w:r>
      <w:proofErr w:type="spellStart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Дороничи</w:t>
      </w:r>
      <w:proofErr w:type="spellEnd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Кировской области с </w:t>
      </w:r>
      <w:smartTag w:uri="urn:schemas-microsoft-com:office:smarttags" w:element="metricconverter">
        <w:smartTagPr>
          <w:attr w:name="ProductID" w:val="2016 г"/>
        </w:smartTagPr>
        <w:r w:rsidRPr="0007671B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работают два паровых экструдера. Они специализируются </w:t>
      </w:r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 обработке соевых бобов. Соевые бобы после обработки соответствуют по уровню активности </w:t>
      </w:r>
      <w:proofErr w:type="spellStart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уреазы</w:t>
      </w:r>
      <w:proofErr w:type="spellEnd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показателям </w:t>
      </w:r>
      <w:proofErr w:type="spellStart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ГОСТа</w:t>
      </w:r>
      <w:proofErr w:type="spellEnd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полножирная</w:t>
      </w:r>
      <w:proofErr w:type="spellEnd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соя) и используются в составе комбикормов для свиней. Эта </w:t>
      </w:r>
      <w:proofErr w:type="spellStart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>полножирная</w:t>
      </w:r>
      <w:proofErr w:type="spellEnd"/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соя вводится в комбикорм для замены дорогостоящего импортного соевого шрота.</w:t>
      </w:r>
    </w:p>
    <w:p w:rsidR="001267E1" w:rsidRPr="0007671B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6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паровой экструдер приобретен ООО «Зеленые линии - Калуга» и работает в комбикормовом цехе. Он обрабатывает зерновые и бобовые корма для коров с целью защиты протеина и повышения энергетической питательности.</w:t>
      </w:r>
    </w:p>
    <w:p w:rsidR="001267E1" w:rsidRPr="00685689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Поджаривание - прогрев при атмосферном давлении сухого или увлажненного (в том числе паром) сырья.  Применяют для обработки жмыхов в ООО «Центр соя» (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сноску 2). Технико-экономические характеристики этого производства не разглашаются, технологическое оборудование не продается. В  то же время эта организация заинтересовалась технологией БГТО </w:t>
      </w:r>
      <w:r w:rsidRPr="00685689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.  Обработкой бобовых подобным способом занимается ООО «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Термобоб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Мичуринск» Тамбовской области. </w:t>
      </w:r>
      <w:r w:rsidRPr="00685689">
        <w:rPr>
          <w:rFonts w:ascii="Times New Roman" w:hAnsi="Times New Roman"/>
          <w:sz w:val="28"/>
          <w:szCs w:val="28"/>
          <w:lang w:eastAsia="ru-RU"/>
        </w:rPr>
        <w:t xml:space="preserve">В основе инновационной технологии переработки люпина лежит принцип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термогидролиза</w:t>
      </w:r>
      <w:proofErr w:type="spellEnd"/>
      <w:r w:rsidRPr="00685689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685689">
        <w:rPr>
          <w:rFonts w:ascii="Times New Roman" w:hAnsi="Times New Roman"/>
          <w:sz w:val="28"/>
          <w:szCs w:val="28"/>
          <w:lang w:eastAsia="ru-RU"/>
        </w:rPr>
        <w:t xml:space="preserve"> (нагрев с одновременной обработкой паром). Предприятие не перерабатывает жмыхи и шроты. Предложений о продаже указанного технологического оборудования нет. Встречаются предложения по продаже аппаратов типа жаровни – «стерилизатор», «гидротермический реактор», «кондиционер»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85689">
        <w:rPr>
          <w:rFonts w:ascii="Times New Roman" w:hAnsi="Times New Roman"/>
          <w:sz w:val="28"/>
          <w:szCs w:val="28"/>
          <w:lang w:eastAsia="ru-RU"/>
        </w:rPr>
        <w:t xml:space="preserve"> параметры обработки сырья в которых далеки </w:t>
      </w:r>
      <w:proofErr w:type="gramStart"/>
      <w:r w:rsidRPr="0068568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получаемых паровым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экструдированием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>.</w:t>
      </w:r>
    </w:p>
    <w:p w:rsidR="001267E1" w:rsidRDefault="001267E1" w:rsidP="001267E1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Механическое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</w:t>
      </w:r>
      <w:r w:rsidRPr="00685689">
        <w:rPr>
          <w:rFonts w:ascii="Times New Roman" w:hAnsi="Times New Roman"/>
          <w:sz w:val="28"/>
          <w:szCs w:val="28"/>
          <w:lang w:eastAsia="ru-RU"/>
        </w:rPr>
        <w:t>кструдирование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экспандирование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– самые распространенные технологии, основанные на нагреве сырья посредством механического давления и трения (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экспандирование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- с предварительным подогревом паром или электричеством), с последующим декомпрессионным взрывом. </w:t>
      </w:r>
    </w:p>
    <w:p w:rsidR="001267E1" w:rsidRPr="00685689" w:rsidRDefault="001267E1" w:rsidP="001267E1">
      <w:pPr>
        <w:shd w:val="clear" w:color="auto" w:fill="FFFFFF"/>
        <w:spacing w:after="0" w:line="210" w:lineRule="atLeast"/>
        <w:ind w:firstLine="720"/>
        <w:jc w:val="both"/>
        <w:textAlignment w:val="baseline"/>
        <w:rPr>
          <w:rFonts w:ascii="Arial" w:hAnsi="Arial" w:cs="Arial"/>
          <w:color w:val="666666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 технологии х</w:t>
      </w:r>
      <w:r w:rsidRPr="00685689">
        <w:rPr>
          <w:rFonts w:ascii="Times New Roman" w:hAnsi="Times New Roman"/>
          <w:sz w:val="28"/>
          <w:szCs w:val="28"/>
          <w:lang w:eastAsia="ru-RU"/>
        </w:rPr>
        <w:t xml:space="preserve">арактеризуются большими затратами электроэнергии и эксплуатационными расходами из-за большого износа трущихся деталей. Технологии не предназначены для обработки жмыхов и шротов (возможна обработка только в составе смесей с зерном). Экспандеры предназначены в основном для конечной обработки комбикормов взамен гранулированию при температуре до 110 градусов. Широкое применение нашел способ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механического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экструдирования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при производстве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полножирной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сои. Способ предназначен для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инактивирования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ингибитора трипсина и других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антипитательных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факторов соевых бобов. О возможности </w:t>
      </w: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t>экструдирования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соевого шрота на </w:t>
      </w:r>
      <w:proofErr w:type="spellStart"/>
      <w:proofErr w:type="gramStart"/>
      <w:r w:rsidRPr="0068568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пресс-экструдере</w:t>
      </w:r>
      <w:proofErr w:type="spellEnd"/>
      <w:proofErr w:type="gramEnd"/>
      <w:r w:rsidRPr="0068568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ПЭ-175 заявляет фирма «</w:t>
      </w:r>
      <w:proofErr w:type="spellStart"/>
      <w:r w:rsidRPr="0068568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Жаско</w:t>
      </w:r>
      <w:proofErr w:type="spellEnd"/>
      <w:r w:rsidRPr="0068568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» из Волгограда.</w:t>
      </w:r>
      <w:r w:rsidRPr="00685689">
        <w:rPr>
          <w:rFonts w:ascii="Arial" w:hAnsi="Arial" w:cs="Arial"/>
          <w:color w:val="666666"/>
          <w:sz w:val="18"/>
          <w:szCs w:val="18"/>
          <w:lang w:eastAsia="ru-RU"/>
        </w:rPr>
        <w:t> </w:t>
      </w:r>
    </w:p>
    <w:p w:rsidR="001267E1" w:rsidRPr="00685689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85689">
        <w:rPr>
          <w:rFonts w:ascii="Times New Roman" w:hAnsi="Times New Roman"/>
          <w:sz w:val="28"/>
          <w:szCs w:val="28"/>
          <w:lang w:eastAsia="ru-RU"/>
        </w:rPr>
        <w:lastRenderedPageBreak/>
        <w:t>Микронизация</w:t>
      </w:r>
      <w:proofErr w:type="spell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– обработка зерна инфракрасными лучами, также как и обработка </w:t>
      </w:r>
      <w:proofErr w:type="gramStart"/>
      <w:r w:rsidRPr="00685689">
        <w:rPr>
          <w:rFonts w:ascii="Times New Roman" w:hAnsi="Times New Roman"/>
          <w:sz w:val="28"/>
          <w:szCs w:val="28"/>
          <w:lang w:eastAsia="ru-RU"/>
        </w:rPr>
        <w:t>зерна</w:t>
      </w:r>
      <w:proofErr w:type="gramEnd"/>
      <w:r w:rsidRPr="006856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6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сверхвысокочастотными волнами – малопроизводительные и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энергозатратные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для обработки зерна. Применяют их в пищевом производстве, в производстве кормов для собак и для рыбы. Для обработки жмыхов и шротов не применяются.</w:t>
      </w:r>
    </w:p>
    <w:p w:rsidR="001267E1" w:rsidRPr="00685689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на российском рынке не существует предложений устройств, которые могли бы составить конкуренцию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паровым экструдерам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БГТО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измельченного малосыпучего высокобелкового сырья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Созданные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единственным предложением устрой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ств сп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особных обрабатывать паром под давлением жмыхи и шроты в чистом виде.</w:t>
      </w:r>
    </w:p>
    <w:p w:rsidR="001267E1" w:rsidRPr="00685689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Наиболее близкой по параметрам обработки сырья является технология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механического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экструдирования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сырье обрабатывается под механическим давлением 10-40 атм. при температуре 110-200 градусов в течение 5-40с с последующим сбросом в зону атмосферного давления. Однако предлагаемые на рынке экструдеры не способны обрабатывать, например, подсолнечные жмыхи и шроты в чистом виде, а только в смеси с зерном, в количестве 20-30%. Если рассматривать саму технологию БГТО, то она имеет ряд преимуществ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механическим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экструдированием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67E1" w:rsidRPr="00685689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 БГТО по сравнени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механическим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экструдированием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267E1" w:rsidRPr="00685689" w:rsidRDefault="001267E1" w:rsidP="001267E1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B5D18" w:rsidRDefault="001267E1" w:rsidP="001267E1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Паровой экструдер - </w:t>
      </w:r>
      <w:proofErr w:type="gram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технологии БГТО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Эти установки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успешно обрабатывают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зерно </w:t>
      </w:r>
      <w:proofErr w:type="gram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злаковых</w:t>
      </w:r>
      <w:proofErr w:type="gram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бобовых, цельное и измельченное, также и смеси, включающие химические реагенты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Разрабатываются паровые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экструдеры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специализированные на жмыхах и шротах, 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использовании парового экструдера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затраты электроэнергии в 20-30 раз ниже чем </w:t>
      </w:r>
      <w:proofErr w:type="gram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механическом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экструдировании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паровом экструдере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теплоносителем является пар, для производства которого можно использовать местные ресурсы: лузгу, опил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ки, лигнин, шелуху и т.п. При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механическом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кструдировании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разогрева сырья используется электроэнергия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67E1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паровом экструдере нет трущихся деталей. Поэтому расходы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на запасные части и восстановление изношенных деталей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порядок ниже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Частые поломки экструдеров возникают из-за попадания камней, металлических предметов. Сырье для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экструдирования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тщательно подготовлено, очищено.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Паровой экструдер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перерабатывать сырьё с мелкими камнями и металлическими предметами.</w:t>
      </w:r>
    </w:p>
    <w:p w:rsidR="001267E1" w:rsidRPr="001267E1" w:rsidRDefault="001267E1" w:rsidP="001267E1">
      <w:pPr>
        <w:snapToGrid w:val="0"/>
        <w:spacing w:after="0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1267E1">
        <w:rPr>
          <w:rFonts w:ascii="Times New Roman" w:hAnsi="Times New Roman"/>
          <w:color w:val="000000"/>
          <w:sz w:val="28"/>
          <w:szCs w:val="28"/>
        </w:rPr>
        <w:t xml:space="preserve">- Устройство парового экструдера позволяет  легко и точно регулировать параметры обработки в широком диапазоне через контроллер управляющий процессом. При </w:t>
      </w:r>
      <w:proofErr w:type="gramStart"/>
      <w:r w:rsidRPr="001267E1">
        <w:rPr>
          <w:rFonts w:ascii="Times New Roman" w:hAnsi="Times New Roman"/>
          <w:color w:val="000000"/>
          <w:sz w:val="28"/>
          <w:szCs w:val="28"/>
        </w:rPr>
        <w:t>механическом</w:t>
      </w:r>
      <w:proofErr w:type="gramEnd"/>
      <w:r w:rsidRPr="001267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67E1">
        <w:rPr>
          <w:rFonts w:ascii="Times New Roman" w:hAnsi="Times New Roman"/>
          <w:color w:val="000000"/>
          <w:sz w:val="28"/>
          <w:szCs w:val="28"/>
        </w:rPr>
        <w:t>экструдировании</w:t>
      </w:r>
      <w:proofErr w:type="spellEnd"/>
      <w:r w:rsidRPr="001267E1">
        <w:rPr>
          <w:rFonts w:ascii="Times New Roman" w:hAnsi="Times New Roman"/>
          <w:color w:val="000000"/>
          <w:sz w:val="28"/>
          <w:szCs w:val="28"/>
        </w:rPr>
        <w:t xml:space="preserve"> время нахождения продукта в зоне высокой температуры и давления ограничено и нет возможности основательно прогреть продукт, например, для повышения </w:t>
      </w:r>
      <w:proofErr w:type="spellStart"/>
      <w:r w:rsidRPr="001267E1">
        <w:rPr>
          <w:rFonts w:ascii="Times New Roman" w:hAnsi="Times New Roman"/>
          <w:color w:val="000000"/>
          <w:sz w:val="28"/>
          <w:szCs w:val="28"/>
        </w:rPr>
        <w:t>нераспадаемого</w:t>
      </w:r>
      <w:proofErr w:type="spellEnd"/>
      <w:r w:rsidRPr="001267E1">
        <w:rPr>
          <w:rFonts w:ascii="Times New Roman" w:hAnsi="Times New Roman"/>
          <w:color w:val="000000"/>
          <w:sz w:val="28"/>
          <w:szCs w:val="28"/>
        </w:rPr>
        <w:t xml:space="preserve"> протеина. На выходе из механического экструдера температура продукта </w:t>
      </w:r>
      <w:proofErr w:type="gramStart"/>
      <w:r w:rsidRPr="001267E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26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7E1">
        <w:rPr>
          <w:rFonts w:ascii="Times New Roman" w:hAnsi="Times New Roman"/>
          <w:color w:val="000000"/>
          <w:sz w:val="28"/>
          <w:szCs w:val="28"/>
        </w:rPr>
        <w:lastRenderedPageBreak/>
        <w:t>составляет от 90 до 140</w:t>
      </w:r>
      <w:r w:rsidRPr="001267E1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267E1">
        <w:rPr>
          <w:rFonts w:ascii="Times New Roman" w:hAnsi="Times New Roman"/>
          <w:color w:val="000000"/>
          <w:sz w:val="28"/>
          <w:szCs w:val="28"/>
        </w:rPr>
        <w:t xml:space="preserve">С. Рабочая температура в паровом экструдере может регулироваться до 200 и более градусов и в сочетании со временем обработки от 1-2 до 300 с можно подобрать режим обработки от «мягкого» до самого «жесткого» в зависимости от состава сырья и от поставленной задачи. 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Механическое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экструдирование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требует кондиционирования сырья по влажности, не правильно заданная влажность может привести к остановке и даже поломке экструдера.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Паровой экструдер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чувствител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н к этому показателю.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паровом экструдере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зерна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одновременно с обработкой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отделяются цветочные пленки и наружные плодовые оболочки. Количество клетчатки в готовом продукте существенно уменьшается, это очень важно при кормлении, например, бройлеров или молодняка животных.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механическом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экструдере это не возможно.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Целостность зерна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паровом экструдере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нарушается, внутриклеточный жир меньше окисляется, технологические свойства не ухудшаются. После БГТО возможно длительное хранение зерна (более двух лет)  в условиях элеватора или напольного склада. Для хранения или транспортировки продуктов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механического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экструдирования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требуются дополнительные меры (введение антиоксидантов, установка в линию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гранулятора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охладителя гранул).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 БГТО зерна наибольшему воздействию подвергаются его оболочки и наружные слои, наиболее богатые клетчаткой и предназначенные природой для защиты эндосперма зерна от неблагоприятных воздействий, например, ферментов микроорганизмов. По этой причине зерновые оболочки устойчивы к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ферментолизу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и в пищеварительном тракте животных.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паровом экструдере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 оболочки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непосредственно конт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актируют с влагой теплоносителя. Именно на них пар оказывает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наибольшее воздействие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З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ерновые оболочки разрушаются физически, клетчатка частично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гидролизуется</w:t>
      </w:r>
      <w:proofErr w:type="spell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модифицируется в более доступные формы. При обработке сои не надо удалять оболочки, после БГТО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паровом экструдере </w:t>
      </w: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отделенные от ядра оболочки сои становятся </w:t>
      </w:r>
      <w:proofErr w:type="gram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легко </w:t>
      </w:r>
      <w:proofErr w:type="spellStart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переваримыми</w:t>
      </w:r>
      <w:proofErr w:type="spellEnd"/>
      <w:proofErr w:type="gramEnd"/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67E1" w:rsidRPr="006B5D18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D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B5D1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парового экструдера</w:t>
      </w:r>
      <w:r w:rsidRPr="006B5D18">
        <w:rPr>
          <w:rFonts w:ascii="Times New Roman" w:hAnsi="Times New Roman"/>
          <w:sz w:val="28"/>
          <w:szCs w:val="28"/>
          <w:lang w:eastAsia="ru-RU"/>
        </w:rPr>
        <w:t xml:space="preserve"> не существует «трудно перерабатываемых компонентов». </w:t>
      </w:r>
      <w:r>
        <w:rPr>
          <w:rFonts w:ascii="Times New Roman" w:hAnsi="Times New Roman"/>
          <w:sz w:val="28"/>
          <w:szCs w:val="28"/>
          <w:lang w:eastAsia="ru-RU"/>
        </w:rPr>
        <w:t xml:space="preserve">Паровой экструдер </w:t>
      </w:r>
      <w:r w:rsidRPr="006B5D18">
        <w:rPr>
          <w:rFonts w:ascii="Times New Roman" w:hAnsi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B5D18">
        <w:rPr>
          <w:rFonts w:ascii="Times New Roman" w:hAnsi="Times New Roman"/>
          <w:sz w:val="28"/>
          <w:szCs w:val="28"/>
          <w:lang w:eastAsia="ru-RU"/>
        </w:rPr>
        <w:t xml:space="preserve">н обрабатывать любое, в том числе измельченное сырьё. </w:t>
      </w:r>
    </w:p>
    <w:p w:rsidR="001267E1" w:rsidRPr="0060197D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197D">
        <w:rPr>
          <w:rFonts w:ascii="Times New Roman" w:hAnsi="Times New Roman"/>
          <w:color w:val="000000"/>
          <w:sz w:val="28"/>
          <w:szCs w:val="28"/>
          <w:lang w:eastAsia="ru-RU"/>
        </w:rPr>
        <w:t>Мы сравнили модели механических экструдеров и паровой экструдер  с близкой производительностью, близкие по цене (с учетом производительности). Параметры обработки сырья: температура, давление, время близки. Эксплуатационные расходы были приняты равными, не смотря на указанные выше преимущества парового экструдера.</w:t>
      </w:r>
    </w:p>
    <w:p w:rsidR="001267E1" w:rsidRPr="0060197D" w:rsidRDefault="001267E1" w:rsidP="001267E1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197D">
        <w:rPr>
          <w:rFonts w:ascii="Times New Roman" w:hAnsi="Times New Roman"/>
          <w:color w:val="000000"/>
          <w:sz w:val="28"/>
          <w:szCs w:val="28"/>
          <w:lang w:eastAsia="ru-RU"/>
        </w:rPr>
        <w:t>Установки отличаются  способом прогрева сырья и сравнивались по важнейшему показателю – сумма затрат на энергоносители.</w:t>
      </w:r>
    </w:p>
    <w:p w:rsidR="001267E1" w:rsidRDefault="001267E1" w:rsidP="001267E1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1267E1" w:rsidSect="001267E1">
          <w:footerReference w:type="even" r:id="rId6"/>
          <w:footerReference w:type="default" r:id="rId7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267E1" w:rsidRDefault="001267E1" w:rsidP="001267E1">
      <w:pPr>
        <w:snapToGrid w:val="0"/>
        <w:spacing w:after="0"/>
        <w:jc w:val="center"/>
        <w:rPr>
          <w:color w:val="000000"/>
          <w:sz w:val="28"/>
          <w:szCs w:val="28"/>
        </w:rPr>
      </w:pPr>
      <w:r w:rsidRPr="00AC59C5">
        <w:rPr>
          <w:color w:val="000000"/>
          <w:sz w:val="28"/>
          <w:szCs w:val="28"/>
        </w:rPr>
        <w:lastRenderedPageBreak/>
        <w:t xml:space="preserve">Сравнительные технические характеристики </w:t>
      </w:r>
      <w:r>
        <w:rPr>
          <w:color w:val="000000"/>
          <w:sz w:val="28"/>
          <w:szCs w:val="28"/>
        </w:rPr>
        <w:t xml:space="preserve">механических </w:t>
      </w:r>
      <w:r w:rsidRPr="00AC59C5">
        <w:rPr>
          <w:color w:val="000000"/>
          <w:sz w:val="28"/>
          <w:szCs w:val="28"/>
        </w:rPr>
        <w:t xml:space="preserve">экструдеров и </w:t>
      </w:r>
      <w:r>
        <w:rPr>
          <w:color w:val="000000"/>
          <w:sz w:val="28"/>
          <w:szCs w:val="28"/>
        </w:rPr>
        <w:t>парового экструдера</w:t>
      </w:r>
    </w:p>
    <w:p w:rsidR="001267E1" w:rsidRPr="00AC59C5" w:rsidRDefault="001267E1" w:rsidP="001267E1">
      <w:pPr>
        <w:snapToGrid w:val="0"/>
        <w:spacing w:after="0"/>
        <w:rPr>
          <w:color w:val="000000"/>
          <w:sz w:val="28"/>
          <w:szCs w:val="28"/>
        </w:rPr>
      </w:pPr>
    </w:p>
    <w:p w:rsidR="001267E1" w:rsidRPr="00AC59C5" w:rsidRDefault="001267E1" w:rsidP="001267E1">
      <w:pPr>
        <w:snapToGrid w:val="0"/>
        <w:spacing w:after="0"/>
        <w:rPr>
          <w:color w:val="000000"/>
          <w:sz w:val="28"/>
          <w:szCs w:val="28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418"/>
        <w:gridCol w:w="1418"/>
        <w:gridCol w:w="1418"/>
        <w:gridCol w:w="1418"/>
        <w:gridCol w:w="1418"/>
        <w:gridCol w:w="1418"/>
        <w:gridCol w:w="1279"/>
        <w:gridCol w:w="1839"/>
      </w:tblGrid>
      <w:tr w:rsidR="001267E1" w:rsidRPr="00AC59C5" w:rsidTr="00D74919">
        <w:trPr>
          <w:trHeight w:val="285"/>
          <w:jc w:val="center"/>
        </w:trPr>
        <w:tc>
          <w:tcPr>
            <w:tcW w:w="3402" w:type="dxa"/>
            <w:vMerge w:val="restart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Паровой экструдер </w:t>
            </w:r>
          </w:p>
        </w:tc>
        <w:tc>
          <w:tcPr>
            <w:tcW w:w="10208" w:type="dxa"/>
            <w:gridSpan w:val="7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Экструдеры</w:t>
            </w:r>
          </w:p>
        </w:tc>
      </w:tr>
      <w:tr w:rsidR="001267E1" w:rsidRPr="00AC59C5" w:rsidTr="00D74919">
        <w:trPr>
          <w:trHeight w:val="990"/>
          <w:jc w:val="center"/>
        </w:trPr>
        <w:tc>
          <w:tcPr>
            <w:tcW w:w="3402" w:type="dxa"/>
            <w:vMerge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КМЗ-2У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27FE7">
              <w:rPr>
                <w:color w:val="000000"/>
                <w:sz w:val="28"/>
                <w:szCs w:val="28"/>
                <w:lang w:val="en-US"/>
              </w:rPr>
              <w:t>ES</w:t>
            </w:r>
            <w:r w:rsidRPr="00127FE7">
              <w:rPr>
                <w:color w:val="000000"/>
                <w:sz w:val="28"/>
                <w:szCs w:val="28"/>
              </w:rPr>
              <w:t xml:space="preserve"> 1000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Е500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ЭК-1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К-120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ПЭ-550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ТЭ «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ЭкспроМ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>» 450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Производительность, </w:t>
            </w:r>
            <w:proofErr w:type="gramStart"/>
            <w:r w:rsidRPr="00127FE7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127FE7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Потребляемая мощность, кВт/час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45,5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Расход пара, </w:t>
            </w:r>
            <w:proofErr w:type="gramStart"/>
            <w:r w:rsidRPr="00127FE7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127FE7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Стоимость электроэнергии 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 xml:space="preserve">/т (5 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>/кВт)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127FE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611,1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489,5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392,9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455,0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Стоимость пара, 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>/т сырья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127FE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Сумма затрат на энергоносители, 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>/</w:t>
            </w:r>
            <w:proofErr w:type="gramStart"/>
            <w:r w:rsidRPr="00127FE7">
              <w:rPr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7FE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687,5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489,5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392,9</w:t>
            </w:r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7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1839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455,0</w:t>
            </w:r>
          </w:p>
        </w:tc>
      </w:tr>
      <w:tr w:rsidR="001267E1" w:rsidRPr="00AC59C5" w:rsidTr="00D74919">
        <w:trPr>
          <w:jc w:val="center"/>
        </w:trPr>
        <w:tc>
          <w:tcPr>
            <w:tcW w:w="3402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 xml:space="preserve">Сумма затрат на энергоносители в среднем, </w:t>
            </w:r>
            <w:proofErr w:type="spellStart"/>
            <w:r w:rsidRPr="00127FE7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27FE7">
              <w:rPr>
                <w:color w:val="000000"/>
                <w:sz w:val="28"/>
                <w:szCs w:val="28"/>
              </w:rPr>
              <w:t>/</w:t>
            </w:r>
            <w:proofErr w:type="gramStart"/>
            <w:r w:rsidRPr="00127FE7">
              <w:rPr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418" w:type="dxa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127FE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08" w:type="dxa"/>
            <w:gridSpan w:val="7"/>
            <w:vAlign w:val="center"/>
          </w:tcPr>
          <w:p w:rsidR="001267E1" w:rsidRPr="00127FE7" w:rsidRDefault="001267E1" w:rsidP="00D7491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27FE7">
              <w:rPr>
                <w:color w:val="000000"/>
                <w:sz w:val="28"/>
                <w:szCs w:val="28"/>
              </w:rPr>
              <w:t>513,5</w:t>
            </w:r>
          </w:p>
        </w:tc>
      </w:tr>
    </w:tbl>
    <w:p w:rsidR="001267E1" w:rsidRPr="00AC59C5" w:rsidRDefault="001267E1" w:rsidP="001267E1">
      <w:pPr>
        <w:snapToGrid w:val="0"/>
        <w:spacing w:after="0"/>
        <w:rPr>
          <w:color w:val="000000"/>
          <w:sz w:val="28"/>
          <w:szCs w:val="28"/>
        </w:rPr>
      </w:pPr>
    </w:p>
    <w:p w:rsidR="001267E1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1267E1" w:rsidSect="0060197D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1267E1" w:rsidRPr="006B5D18" w:rsidRDefault="001267E1" w:rsidP="001267E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Default="001267E1" w:rsidP="001267E1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Целевые сегменты потребителей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паровых экструдеров БГТО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паровых экструдеров</w:t>
      </w: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БГТО могут стать ниже следующие организации, которые имеют предпосылки для создания цехов БГТО.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Default="001267E1" w:rsidP="001267E1">
      <w:pPr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Заводы растительных масел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Предпосылки: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Имеет собственное произведенное сырьё для обработки.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Усиливающаяся конкуренция на рынке жмыхов и шротов в условиях насыщенности рынка подсолнечным шротом.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Применяя БГТО увеличится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реализация  за сет расширения ассортимента, например, могут выпускаться специализированные по видам и группам животных высокоэффективные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БГТО-шроты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Имеют котельные и дешевое топливо (лузга).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Имеют клиентскую базу для реализации БГТО продуктов.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Высокая экономическая эффективность БГТО как для продавца, так и для покупателя БГТО продукции. 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Default="001267E1" w:rsidP="001267E1">
      <w:pPr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Комбикормовые заводы.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Предпосылки: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- Имеют приобретенное сырьё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Имеют широкую клиентскую базу конечных потребителей продуктов БГТО, которые непосредственно будут иметь у себя экономический эффект от применения кормов с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БГТО-компонентами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Как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имеют котельные и дешевое топливо (шелуха и др. отходы зерноочистки).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- Конкуренция на рынке комбикормов. БГТО дает возможность расширить ассортимент.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Высокая экономическая эффективность БГТО как для продавца, так и для покупателя кормов с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БГТО-компонентами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67E1" w:rsidRDefault="001267E1" w:rsidP="001267E1">
      <w:pPr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Default="001267E1" w:rsidP="001267E1">
      <w:pPr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Крупные животноводческие и птицеводческие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хозяйства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имеющие свои кормоцеха.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Предпосылки: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- Будут иметь у себя суммарный экономический эффект производителя и потребителя продукции БГТО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- Имеют покупное (шроты, жмыхи) и собственное сырьё (зерновое)</w:t>
      </w:r>
    </w:p>
    <w:p w:rsidR="001267E1" w:rsidRPr="00685689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</w:t>
      </w:r>
      <w:proofErr w:type="gram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сбыт продукции БГТО (производство для себя)</w:t>
      </w:r>
    </w:p>
    <w:p w:rsidR="00CE315F" w:rsidRPr="001267E1" w:rsidRDefault="001267E1" w:rsidP="001267E1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Исключены </w:t>
      </w:r>
      <w:proofErr w:type="spellStart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>логистические</w:t>
      </w:r>
      <w:proofErr w:type="spellEnd"/>
      <w:r w:rsidRPr="00685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затраты (наличие сырья, производство и потребление в одном месте).</w:t>
      </w:r>
    </w:p>
    <w:sectPr w:rsidR="00CE315F" w:rsidRPr="001267E1" w:rsidSect="0060197D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69" w:rsidRDefault="008D5669" w:rsidP="001267E1">
      <w:pPr>
        <w:spacing w:after="0" w:line="240" w:lineRule="auto"/>
      </w:pPr>
      <w:r>
        <w:separator/>
      </w:r>
    </w:p>
  </w:endnote>
  <w:endnote w:type="continuationSeparator" w:id="0">
    <w:p w:rsidR="008D5669" w:rsidRDefault="008D5669" w:rsidP="0012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E1" w:rsidRDefault="001267E1" w:rsidP="005B42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67E1" w:rsidRDefault="001267E1" w:rsidP="009A43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E1" w:rsidRDefault="001267E1" w:rsidP="005B42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1267E1" w:rsidRDefault="001267E1" w:rsidP="009A4317">
    <w:pPr>
      <w:pStyle w:val="a6"/>
      <w:ind w:right="360"/>
    </w:pPr>
    <w:fldSimple w:instr=" DATE \@ &quot;dd.MM.yyyy&quot; ">
      <w:r>
        <w:rPr>
          <w:noProof/>
        </w:rPr>
        <w:t>01.08.2017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69" w:rsidRDefault="008D5669" w:rsidP="001267E1">
      <w:pPr>
        <w:spacing w:after="0" w:line="240" w:lineRule="auto"/>
      </w:pPr>
      <w:r>
        <w:separator/>
      </w:r>
    </w:p>
  </w:footnote>
  <w:footnote w:type="continuationSeparator" w:id="0">
    <w:p w:rsidR="008D5669" w:rsidRDefault="008D5669" w:rsidP="001267E1">
      <w:pPr>
        <w:spacing w:after="0" w:line="240" w:lineRule="auto"/>
      </w:pPr>
      <w:r>
        <w:continuationSeparator/>
      </w:r>
    </w:p>
  </w:footnote>
  <w:footnote w:id="1">
    <w:p w:rsidR="001267E1" w:rsidRDefault="001267E1" w:rsidP="001267E1">
      <w:pPr>
        <w:shd w:val="clear" w:color="auto" w:fill="FFFFFF"/>
        <w:snapToGrid w:val="0"/>
        <w:spacing w:after="0"/>
        <w:ind w:firstLine="708"/>
        <w:rPr>
          <w:color w:val="000000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6"/>
          <w:shd w:val="clear" w:color="auto" w:fill="FFFFFF"/>
        </w:rPr>
        <w:t>Способ обработки по первому варианту заключается в том, что подсолнечный жмых, имеющий температуру 75</w:t>
      </w:r>
      <w:proofErr w:type="gramStart"/>
      <w:r>
        <w:rPr>
          <w:color w:val="000000"/>
          <w:spacing w:val="6"/>
          <w:shd w:val="clear" w:color="auto" w:fill="FFFFFF"/>
        </w:rPr>
        <w:t>°С</w:t>
      </w:r>
      <w:proofErr w:type="gramEnd"/>
      <w:r>
        <w:rPr>
          <w:color w:val="000000"/>
          <w:spacing w:val="6"/>
          <w:shd w:val="clear" w:color="auto" w:fill="FFFFFF"/>
        </w:rPr>
        <w:t>, постоянно перемешивая нагревают до температуры 130°С и выдерживают при этой температуре в течение одного часа. После этого подсолнечный жмых охлаждают. Способ по второму варианту отличается от способа по первому варианту тем, что после охлаждения подсолнечный жмых обрабатывают муравьиной кислотой.</w:t>
      </w:r>
    </w:p>
    <w:p w:rsidR="001267E1" w:rsidRDefault="001267E1" w:rsidP="001267E1">
      <w:pPr>
        <w:shd w:val="clear" w:color="auto" w:fill="FFFFFF"/>
        <w:snapToGrid w:val="0"/>
        <w:spacing w:after="0"/>
        <w:ind w:firstLine="708"/>
      </w:pPr>
    </w:p>
  </w:footnote>
  <w:footnote w:id="2">
    <w:p w:rsidR="001267E1" w:rsidRDefault="001267E1" w:rsidP="001267E1">
      <w:pPr>
        <w:pStyle w:val="a3"/>
      </w:pPr>
      <w:r w:rsidRPr="00B6229C">
        <w:rPr>
          <w:rStyle w:val="a5"/>
          <w:sz w:val="24"/>
          <w:szCs w:val="24"/>
        </w:rPr>
        <w:footnoteRef/>
      </w:r>
      <w:r w:rsidRPr="00B6229C">
        <w:rPr>
          <w:sz w:val="24"/>
          <w:szCs w:val="24"/>
        </w:rPr>
        <w:t xml:space="preserve"> В 2014 год</w:t>
      </w:r>
      <w:proofErr w:type="gramStart"/>
      <w:r w:rsidRPr="00B6229C">
        <w:rPr>
          <w:sz w:val="24"/>
          <w:szCs w:val="24"/>
        </w:rPr>
        <w:t>у ООО</w:t>
      </w:r>
      <w:proofErr w:type="gramEnd"/>
      <w:r w:rsidRPr="00B6229C">
        <w:rPr>
          <w:sz w:val="24"/>
          <w:szCs w:val="24"/>
        </w:rPr>
        <w:t xml:space="preserve"> «Цент соя» приобрело опытный образец </w:t>
      </w:r>
      <w:r>
        <w:rPr>
          <w:sz w:val="24"/>
          <w:szCs w:val="24"/>
        </w:rPr>
        <w:t>парового экструдера</w:t>
      </w:r>
      <w:r w:rsidRPr="00B6229C">
        <w:rPr>
          <w:sz w:val="24"/>
          <w:szCs w:val="24"/>
        </w:rPr>
        <w:t xml:space="preserve"> для производства вспученного зерна, который успешно работает у них до настоящего времени, и планирует приобрести ещё одн</w:t>
      </w:r>
      <w:r>
        <w:rPr>
          <w:sz w:val="24"/>
          <w:szCs w:val="24"/>
        </w:rPr>
        <w:t>у</w:t>
      </w:r>
      <w:r w:rsidRPr="00B6229C">
        <w:rPr>
          <w:sz w:val="24"/>
          <w:szCs w:val="24"/>
        </w:rPr>
        <w:t xml:space="preserve"> установку</w:t>
      </w:r>
      <w:r>
        <w:rPr>
          <w:sz w:val="24"/>
          <w:szCs w:val="24"/>
        </w:rPr>
        <w:t>.</w:t>
      </w:r>
    </w:p>
  </w:footnote>
  <w:footnote w:id="3">
    <w:p w:rsidR="001267E1" w:rsidRDefault="001267E1" w:rsidP="001267E1">
      <w:pPr>
        <w:pStyle w:val="a3"/>
      </w:pPr>
      <w:r w:rsidRPr="00B6229C">
        <w:rPr>
          <w:rStyle w:val="a5"/>
          <w:sz w:val="24"/>
          <w:szCs w:val="24"/>
        </w:rPr>
        <w:footnoteRef/>
      </w:r>
      <w:r w:rsidRPr="00B6229C">
        <w:rPr>
          <w:sz w:val="24"/>
          <w:szCs w:val="24"/>
        </w:rPr>
        <w:t xml:space="preserve"> </w:t>
      </w:r>
      <w:r w:rsidRPr="00B6229C">
        <w:rPr>
          <w:color w:val="000000"/>
          <w:spacing w:val="6"/>
          <w:sz w:val="24"/>
          <w:szCs w:val="24"/>
          <w:shd w:val="clear" w:color="auto" w:fill="FFFFFF"/>
        </w:rPr>
        <w:t>производят термообработку семян ступенчатым нагревом с последующим охлаждением термически инактивированных семян, первым измельчением семян, увлажнением и вторым измельчением семян.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7E1"/>
    <w:rsid w:val="001267E1"/>
    <w:rsid w:val="00187988"/>
    <w:rsid w:val="00187DBE"/>
    <w:rsid w:val="008D5669"/>
    <w:rsid w:val="00C7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267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7E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267E1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1267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7E1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rsid w:val="001267E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svhost</dc:creator>
  <cp:lastModifiedBy>svhost</cp:lastModifiedBy>
  <cp:revision>1</cp:revision>
  <dcterms:created xsi:type="dcterms:W3CDTF">2017-08-01T10:59:00Z</dcterms:created>
  <dcterms:modified xsi:type="dcterms:W3CDTF">2017-08-01T11:01:00Z</dcterms:modified>
</cp:coreProperties>
</file>